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DCAD" w14:textId="77777777" w:rsidR="00FF2FD3" w:rsidRPr="00FF2FD3" w:rsidRDefault="00FF2FD3" w:rsidP="006F1DFE">
      <w:pPr>
        <w:rPr>
          <w:rFonts w:ascii="Arial" w:hAnsi="Arial" w:cs="Arial"/>
          <w:lang w:val="es-MX"/>
        </w:rPr>
      </w:pPr>
    </w:p>
    <w:p w14:paraId="77B68ED2" w14:textId="0B62BB49" w:rsidR="00FF2FD3" w:rsidRPr="00820B0D" w:rsidRDefault="00FF2FD3" w:rsidP="00FF2FD3">
      <w:pPr>
        <w:jc w:val="center"/>
        <w:rPr>
          <w:rFonts w:ascii="Arial" w:hAnsi="Arial" w:cs="Arial"/>
          <w:b/>
          <w:bCs/>
          <w:lang w:val="es-MX"/>
        </w:rPr>
      </w:pPr>
      <w:r w:rsidRPr="00820B0D">
        <w:rPr>
          <w:rFonts w:ascii="Arial" w:hAnsi="Arial" w:cs="Arial"/>
          <w:b/>
          <w:bCs/>
          <w:lang w:val="es-MX"/>
        </w:rPr>
        <w:t>TABLA DE VALORACION DOCUMETNAL-TVD</w:t>
      </w:r>
    </w:p>
    <w:p w14:paraId="77C879C3" w14:textId="713394D0" w:rsidR="009904D9" w:rsidRPr="00820B0D" w:rsidRDefault="00FF2FD3" w:rsidP="003D449D">
      <w:pPr>
        <w:jc w:val="center"/>
        <w:rPr>
          <w:rFonts w:ascii="Arial" w:hAnsi="Arial" w:cs="Arial"/>
          <w:b/>
          <w:bCs/>
          <w:lang w:val="es-MX"/>
        </w:rPr>
      </w:pPr>
      <w:r w:rsidRPr="00820B0D">
        <w:rPr>
          <w:rFonts w:ascii="Arial" w:hAnsi="Arial" w:cs="Arial"/>
          <w:b/>
          <w:bCs/>
          <w:lang w:val="es-MX"/>
        </w:rPr>
        <w:t>VALORACION DOCUMENTAL</w:t>
      </w:r>
    </w:p>
    <w:p w14:paraId="4442CCFD" w14:textId="51BED795" w:rsidR="00820B0D" w:rsidRDefault="00820B0D" w:rsidP="003D449D">
      <w:pPr>
        <w:jc w:val="both"/>
        <w:rPr>
          <w:rFonts w:ascii="Arial" w:hAnsi="Arial" w:cs="Arial"/>
          <w:b/>
          <w:bCs/>
          <w:lang w:val="es-MX"/>
        </w:rPr>
      </w:pPr>
    </w:p>
    <w:p w14:paraId="734A971D" w14:textId="35B75E81" w:rsidR="003D449D" w:rsidRPr="00BF0831" w:rsidRDefault="00820B0D" w:rsidP="003D449D">
      <w:pPr>
        <w:jc w:val="both"/>
        <w:rPr>
          <w:rFonts w:ascii="Arial" w:hAnsi="Arial" w:cs="Arial"/>
          <w:b/>
          <w:bCs/>
          <w:lang w:val="es-MX"/>
        </w:rPr>
      </w:pPr>
      <w:r w:rsidRPr="00BF0831">
        <w:rPr>
          <w:rFonts w:ascii="Arial" w:hAnsi="Arial" w:cs="Arial"/>
          <w:b/>
          <w:bCs/>
          <w:lang w:val="es-MX"/>
        </w:rPr>
        <w:t xml:space="preserve">Asuntos Documentales- </w:t>
      </w:r>
      <w:r w:rsidR="003D449D" w:rsidRPr="00BF0831">
        <w:rPr>
          <w:rFonts w:ascii="Arial" w:hAnsi="Arial" w:cs="Arial"/>
          <w:b/>
          <w:bCs/>
          <w:lang w:val="es-MX"/>
        </w:rPr>
        <w:t>Transversales</w:t>
      </w:r>
    </w:p>
    <w:p w14:paraId="7FE0F8BB" w14:textId="74DCF9D5" w:rsidR="00BF0831" w:rsidRPr="006F1DFE" w:rsidRDefault="003D449D" w:rsidP="003D449D">
      <w:pPr>
        <w:jc w:val="both"/>
        <w:rPr>
          <w:rFonts w:ascii="Arial" w:hAnsi="Arial" w:cs="Arial"/>
        </w:rPr>
      </w:pPr>
      <w:r w:rsidRPr="00BF0831">
        <w:rPr>
          <w:rFonts w:ascii="Arial" w:hAnsi="Arial" w:cs="Arial"/>
          <w:b/>
          <w:bCs/>
          <w:lang w:val="es-MX"/>
        </w:rPr>
        <w:t>Derechos de Petición:</w:t>
      </w:r>
      <w:r w:rsidR="00BF0831" w:rsidRPr="00BF0831">
        <w:rPr>
          <w:rFonts w:ascii="Arial" w:hAnsi="Arial" w:cs="Arial"/>
        </w:rPr>
        <w:t xml:space="preserve"> Peticiones, Quejas Reclamos, Recursos, Solicitudes, Sugerencias Y Soluciones –PQRS. Esta serie recoge la información Esta función, está dada por las etapas de recepción, direccionamiento y verificación del requerimiento y de la respuesta dada a los usuarios. La recepción se hace a través de los diferentes canales habilitados, estos son: presencial, correo urbano, virtual, telefónico, buzón de sugerencia. Una vez se tiene el requerimiento debe ser remitido al área o la Entidad competente para atender el requerimiento formulado a la entidad. Si bien la respuesta es responsabilidad del área competente, a quejas y soluciones le corresponde hacer seguimiento permanente al trámite y respuesta de los requerimientos formulados, con el fin de cumplir con los plazos establecidos en el Código Contencioso Administrativo</w:t>
      </w:r>
      <w:r w:rsidR="006F1DFE">
        <w:rPr>
          <w:rFonts w:ascii="Arial" w:hAnsi="Arial" w:cs="Arial"/>
        </w:rPr>
        <w:t>.</w:t>
      </w:r>
    </w:p>
    <w:p w14:paraId="17BD68E5" w14:textId="25D6E1E9" w:rsidR="00FF2FD3" w:rsidRPr="00BF0831" w:rsidRDefault="00BF0831" w:rsidP="003D449D">
      <w:pPr>
        <w:jc w:val="both"/>
        <w:rPr>
          <w:rFonts w:ascii="Arial" w:hAnsi="Arial" w:cs="Arial"/>
        </w:rPr>
      </w:pPr>
      <w:r w:rsidRPr="00BF0831">
        <w:rPr>
          <w:rFonts w:ascii="Arial" w:hAnsi="Arial" w:cs="Arial"/>
        </w:rPr>
        <w:t>La Constitución de 1991 La crítica constante puso y ha puesto de manifiesto la escasa credibilidad y el mínimo impacto de los delegatarios y de los voceros sobre quienes se cimentaba la supuesta representatividad del sentir popular. La democracia participativa activa es un nuevo estilo de configuración de las decisiones en cualquiera de los niveles del Estado y de la política. Sin embargo, dado que el sistema no es perfecto, se buscó que la acción del ciudadano no solamente se limitara a contribuir en la construcción consensuada de algunas decisiones, sino también en la crítica, la denuncia y el registro de las acciones del Estado que ocurren en exceso, de aquellas que se suceden erróneamente o de las que simplemente nunca pasan y que afectan a una persona, a un grupo, o a toda una comunidad.</w:t>
      </w:r>
    </w:p>
    <w:p w14:paraId="49EB69AB" w14:textId="5C695FAE" w:rsidR="00BF0831" w:rsidRDefault="00BF0831" w:rsidP="003D449D">
      <w:pPr>
        <w:jc w:val="both"/>
        <w:rPr>
          <w:rFonts w:ascii="Arial" w:hAnsi="Arial" w:cs="Arial"/>
        </w:rPr>
      </w:pPr>
      <w:r w:rsidRPr="00BF0831">
        <w:rPr>
          <w:rFonts w:ascii="Arial" w:hAnsi="Arial" w:cs="Arial"/>
        </w:rPr>
        <w:t xml:space="preserve">Con el objetivo de garantizar que tales quejas fueran escuchadas y resueltas, la Constitución de 1991 formalizó los canales y estatuyó los mecanismos por medio de los cuales esas inconformidades, grandes o pequeñas, particulares o generales, pudieran ser conocidas y que su respuesta estuviera circunscrita a un lapso determinado y a unas acciones concretas a fin de poner por encima de cualquier causa administrativa o de otro carácter, el derecho del ciudadano peticionario. Este paso abrió camino para el estatuto anticorrupción Ley 60 de 1993 que dispuso que los departamentos y municipios y sus entidades descentralizadas diseñaran e implantaran los sistemas de control interno a que se refería el artículo 269 de la Constitución Política, para garantizar la protección y el uso honesto y eficiente de los recursos. La corrupción era considerada un problema estructural de la sociedad colombiana, resultado de múltiples causas. Todo indicaba que una de las más importantes era la pasividad del Estado y de sus ciudadanos en tolerar y no condenar a los individuos que se separaron de los patrones morales. En consecuencia, se estudiaron y propusieron una serie de medidas encaminadas a buscar y a incrementar la colaboración de la ciudadanía en el empeño de erradicar la corrupción. Se establecieron medidas tendientes a facilitar y simplificar las denuncias de los ciudadanos. </w:t>
      </w:r>
    </w:p>
    <w:p w14:paraId="5188876D" w14:textId="77777777" w:rsidR="006F1DFE" w:rsidRPr="00BF0831" w:rsidRDefault="006F1DFE" w:rsidP="003D449D">
      <w:pPr>
        <w:jc w:val="both"/>
        <w:rPr>
          <w:rFonts w:ascii="Arial" w:hAnsi="Arial" w:cs="Arial"/>
        </w:rPr>
      </w:pPr>
    </w:p>
    <w:p w14:paraId="3FA57319" w14:textId="6741AF71" w:rsidR="00BF0831" w:rsidRPr="00BF0831" w:rsidRDefault="00BF0831" w:rsidP="003D449D">
      <w:pPr>
        <w:jc w:val="both"/>
        <w:rPr>
          <w:rFonts w:ascii="Arial" w:hAnsi="Arial" w:cs="Arial"/>
          <w:lang w:val="es-MX"/>
        </w:rPr>
      </w:pPr>
      <w:r w:rsidRPr="00BF0831">
        <w:rPr>
          <w:rFonts w:ascii="Arial" w:hAnsi="Arial" w:cs="Arial"/>
        </w:rPr>
        <w:lastRenderedPageBreak/>
        <w:t>Las quejas y reclamos debían ser resueltas y contestadas siguiendo los principios, términos y procedimientos dispuestos en el Código Contencioso Administrativo para el ejercicio del derecho de petición, según se tratara del interés particular o general y su incumplimiento debía dar lugar a la imposición de las sanciones previstas en el mismo</w:t>
      </w:r>
    </w:p>
    <w:p w14:paraId="69B21ED2" w14:textId="27A342EA" w:rsidR="003D449D" w:rsidRPr="00BF0831" w:rsidRDefault="00BF0831" w:rsidP="003D449D">
      <w:pPr>
        <w:jc w:val="both"/>
        <w:rPr>
          <w:rFonts w:ascii="Arial" w:hAnsi="Arial" w:cs="Arial"/>
          <w:lang w:val="es-MX"/>
        </w:rPr>
      </w:pPr>
      <w:r w:rsidRPr="00BF0831">
        <w:rPr>
          <w:rFonts w:ascii="Arial" w:hAnsi="Arial" w:cs="Arial"/>
        </w:rPr>
        <w:t>El valor primario de esta serie se establece con base en los fundamentos legales, estipulados en los artículos 30 y 32 de la Ley 734 de 2002, sobre la prescripción de la acción y sanción disciplinaria que da un máximo de cinco (5) años.</w:t>
      </w:r>
    </w:p>
    <w:p w14:paraId="5C2AE3C4" w14:textId="3C9CD1B3" w:rsidR="00CA4BDC" w:rsidRPr="00CA4BDC" w:rsidRDefault="00CA4BDC" w:rsidP="003D449D">
      <w:pPr>
        <w:jc w:val="both"/>
        <w:rPr>
          <w:rFonts w:ascii="Arial" w:hAnsi="Arial" w:cs="Arial"/>
          <w:b/>
          <w:bCs/>
        </w:rPr>
      </w:pPr>
      <w:r w:rsidRPr="00CA4BDC">
        <w:rPr>
          <w:rFonts w:ascii="Arial" w:hAnsi="Arial" w:cs="Arial"/>
          <w:b/>
          <w:bCs/>
        </w:rPr>
        <w:t xml:space="preserve">Valor </w:t>
      </w:r>
      <w:r w:rsidR="006F1DFE">
        <w:rPr>
          <w:rFonts w:ascii="Arial" w:hAnsi="Arial" w:cs="Arial"/>
          <w:b/>
          <w:bCs/>
        </w:rPr>
        <w:t>p</w:t>
      </w:r>
      <w:r w:rsidRPr="00CA4BDC">
        <w:rPr>
          <w:rFonts w:ascii="Arial" w:hAnsi="Arial" w:cs="Arial"/>
          <w:b/>
          <w:bCs/>
        </w:rPr>
        <w:t xml:space="preserve">ara </w:t>
      </w:r>
      <w:r w:rsidR="006F1DFE">
        <w:rPr>
          <w:rFonts w:ascii="Arial" w:hAnsi="Arial" w:cs="Arial"/>
          <w:b/>
          <w:bCs/>
        </w:rPr>
        <w:t>l</w:t>
      </w:r>
      <w:r w:rsidRPr="00CA4BDC">
        <w:rPr>
          <w:rFonts w:ascii="Arial" w:hAnsi="Arial" w:cs="Arial"/>
          <w:b/>
          <w:bCs/>
        </w:rPr>
        <w:t>a Investigación:</w:t>
      </w:r>
    </w:p>
    <w:p w14:paraId="379C744D" w14:textId="77777777" w:rsidR="00874C03" w:rsidRDefault="00CA4BDC" w:rsidP="003D449D">
      <w:pPr>
        <w:jc w:val="both"/>
        <w:rPr>
          <w:rFonts w:ascii="Arial" w:hAnsi="Arial" w:cs="Arial"/>
        </w:rPr>
      </w:pPr>
      <w:r w:rsidRPr="00CA4BDC">
        <w:rPr>
          <w:rFonts w:ascii="Arial" w:hAnsi="Arial" w:cs="Arial"/>
        </w:rPr>
        <w:t xml:space="preserve">Desde un punto de vista político, esta documentación muestra un escrutinio constante sobre lo que es posible lograr del Estado a partir de estos mecanismos de participación y sobre la gestión de una administración, entidad o funcionario. Pero, por otra parte, son reveladores porque proporcionan una imagen de la forma como la ciudadanía se ha apropiado de los elementos constitucionales y del cambio cultural que implica abrir nuevos canales de comunicación entre el Estado y los ciudadanos. Todos estos aspectos son valores informativos inherentes, contenidos y/o deducibles de esta documentación. En segundo lugar, es necesario considerar la importancia de la documentación en función de su aspecto testimonial, pues es materia de discusión, especialmente entre los investigadores en ciencias sociales, que en los archivos se encuentra, de manera constante y primordial, aquella que sustenta el punto de vista del productor y es escasa o nula la presencia de las voces, memorias, versiones u otras manifestaciones “disidentes” de la versión “oficial”. Tal discusión apunta a una de las tendencias de los archivos en general, consistente en resguardar la memoria de la institucionalidad, propósito importantísimo, pero incompleto si se pretende brindar a la investigación presente y futura materiales de trabajo que de manera aproximada representen la realidad de un momento determinado. </w:t>
      </w:r>
    </w:p>
    <w:p w14:paraId="473DFEDE" w14:textId="227AA5F0" w:rsidR="00874C03" w:rsidRDefault="00CA4BDC" w:rsidP="003D449D">
      <w:pPr>
        <w:jc w:val="both"/>
        <w:rPr>
          <w:rFonts w:ascii="Arial" w:hAnsi="Arial" w:cs="Arial"/>
        </w:rPr>
      </w:pPr>
      <w:r w:rsidRPr="00CA4BDC">
        <w:rPr>
          <w:rFonts w:ascii="Arial" w:hAnsi="Arial" w:cs="Arial"/>
        </w:rPr>
        <w:t>La documentación producida tiene un valor relacionado no solamente con su contenido sino también con su cantidad pues, como se sabe, en los últimos años, y ante la perspectiva de obtener soluciones que tienden a ser prontas y directas, se ha registrado un crecimiento vertiginoso, por no decir exponencial, relacionado con el uso de estos instrumentos de derecho. Si bien las quejas de los ciudadanos siempre han estado presentes, el acceso a los mecanismos creados potenció el uso de las garantías constitucionales otorgadas en 1991 por parte de los ciudadanos y ha contribuido a hacer “visibles” tales inconformidades poniéndolas de manifiesto al obligar al ente requerido a actuar sobre la materia</w:t>
      </w:r>
      <w:r w:rsidR="00874C03">
        <w:rPr>
          <w:rFonts w:ascii="Arial" w:hAnsi="Arial" w:cs="Arial"/>
        </w:rPr>
        <w:t>.</w:t>
      </w:r>
    </w:p>
    <w:p w14:paraId="593A98C1" w14:textId="7719DE17" w:rsidR="003D449D" w:rsidRDefault="00CA4BDC" w:rsidP="003D449D">
      <w:pPr>
        <w:jc w:val="both"/>
        <w:rPr>
          <w:rFonts w:ascii="Arial" w:hAnsi="Arial" w:cs="Arial"/>
        </w:rPr>
      </w:pPr>
      <w:r w:rsidRPr="00CA4BDC">
        <w:rPr>
          <w:rFonts w:ascii="Arial" w:hAnsi="Arial" w:cs="Arial"/>
        </w:rPr>
        <w:t>En este caso, el dato de su crecimiento y de las áreas de servicio a que hacen referencia las manifestaciones, quejas, etc., constituyen un diagnóstico de la manera como la labor de la Administración Distrital es percibida y exigida por la ciudadanía, además, documenta, hasta cierto punto, ese lento cambio en las formas adoptadas por parte de la población para manifestar sus insatisfacciones con respecto a la labor de un funcionario o una entidad. Las PQRS son una fuente institucional que permite conocer el punto de vista de los ciudadanos sobre el quehacer de</w:t>
      </w:r>
      <w:r>
        <w:rPr>
          <w:rFonts w:ascii="Arial" w:hAnsi="Arial" w:cs="Arial"/>
        </w:rPr>
        <w:t xml:space="preserve"> la ESE Centro </w:t>
      </w:r>
      <w:r w:rsidR="00874C03">
        <w:rPr>
          <w:rFonts w:ascii="Arial" w:hAnsi="Arial" w:cs="Arial"/>
        </w:rPr>
        <w:t>Dermatológico</w:t>
      </w:r>
      <w:r w:rsidRPr="00CA4BDC">
        <w:rPr>
          <w:rFonts w:ascii="Arial" w:hAnsi="Arial" w:cs="Arial"/>
        </w:rPr>
        <w:t>, su eficiencia o ineficiencia, es además el índice de buen o mal funcionamiento de los programas de gobierno existentes, el desempeño de los empleados, de la realización de las obras urbanas, sociales, de la adaptación de los ciudadanos a las normas y a la transformación, hace evidente también el malestar social, las áreas y necesidades que no cubre el Estado, radiografía la economía informal, la invasión del espacio público y la forma de participación, entre otras.</w:t>
      </w:r>
    </w:p>
    <w:p w14:paraId="55322DF8" w14:textId="6904ED79" w:rsidR="006F1DFE" w:rsidRPr="00E36A62" w:rsidRDefault="00443D07" w:rsidP="003D449D">
      <w:pPr>
        <w:jc w:val="both"/>
      </w:pPr>
      <w:r>
        <w:rPr>
          <w:b/>
          <w:bCs/>
        </w:rPr>
        <w:lastRenderedPageBreak/>
        <w:t xml:space="preserve">Disposición Final: </w:t>
      </w:r>
      <w:r>
        <w:t xml:space="preserve">SELECCIÓN Los Derechos de Petición son consideradas series históricas y pasan al Archivo General de la Nación, en una selección de documentos representativa definida por </w:t>
      </w:r>
      <w:r w:rsidRPr="00443D07">
        <w:t>derechos fundamentales a la vida y la salud</w:t>
      </w:r>
      <w:r>
        <w:t>.</w:t>
      </w:r>
    </w:p>
    <w:p w14:paraId="5EA0AEB2" w14:textId="77777777" w:rsidR="00112179" w:rsidRPr="00112179" w:rsidRDefault="00112179" w:rsidP="00112179">
      <w:pPr>
        <w:jc w:val="both"/>
        <w:rPr>
          <w:rFonts w:ascii="Arial" w:hAnsi="Arial" w:cs="Arial"/>
          <w:lang w:val="es-MX"/>
        </w:rPr>
      </w:pPr>
    </w:p>
    <w:p w14:paraId="50643D08" w14:textId="77777777" w:rsidR="00112179" w:rsidRDefault="00112179" w:rsidP="00112179">
      <w:pPr>
        <w:autoSpaceDE w:val="0"/>
        <w:autoSpaceDN w:val="0"/>
        <w:adjustRightInd w:val="0"/>
        <w:spacing w:after="200" w:line="287" w:lineRule="auto"/>
        <w:contextualSpacing/>
        <w:jc w:val="both"/>
        <w:rPr>
          <w:rFonts w:ascii="Arial" w:hAnsi="Arial" w:cs="Arial"/>
          <w:b/>
          <w:bCs/>
        </w:rPr>
      </w:pPr>
      <w:r>
        <w:rPr>
          <w:rFonts w:ascii="Arial" w:hAnsi="Arial" w:cs="Arial"/>
          <w:b/>
          <w:bCs/>
        </w:rPr>
        <w:t>Serie:  Planes</w:t>
      </w:r>
    </w:p>
    <w:p w14:paraId="51DD6C4D" w14:textId="7A2275D4" w:rsidR="00112179" w:rsidRPr="00112179" w:rsidRDefault="00112179" w:rsidP="00112179">
      <w:pPr>
        <w:autoSpaceDE w:val="0"/>
        <w:autoSpaceDN w:val="0"/>
        <w:adjustRightInd w:val="0"/>
        <w:spacing w:after="200" w:line="287" w:lineRule="auto"/>
        <w:contextualSpacing/>
        <w:jc w:val="both"/>
        <w:rPr>
          <w:rFonts w:ascii="Arial" w:eastAsia="Calibri" w:hAnsi="Arial" w:cs="Arial"/>
        </w:rPr>
      </w:pPr>
      <w:r>
        <w:rPr>
          <w:rFonts w:ascii="Arial" w:hAnsi="Arial" w:cs="Arial"/>
          <w:b/>
          <w:bCs/>
        </w:rPr>
        <w:t xml:space="preserve">Subserie: </w:t>
      </w:r>
      <w:r w:rsidRPr="00112179">
        <w:rPr>
          <w:rFonts w:ascii="Arial" w:eastAsia="Calibri" w:hAnsi="Arial" w:cs="Arial"/>
          <w:b/>
          <w:bCs/>
          <w:color w:val="000000"/>
        </w:rPr>
        <w:t xml:space="preserve">Plan Estratégico de la Entidad: </w:t>
      </w:r>
      <w:r w:rsidRPr="00112179">
        <w:rPr>
          <w:rFonts w:ascii="Arial" w:eastAsia="Calibri" w:hAnsi="Arial" w:cs="Arial"/>
          <w:color w:val="000000"/>
        </w:rPr>
        <w:t>Estructurar el documento que refleje cual será la estrategia a seguir por la  entidad en un plazo definido, los objetivos, las directrices, los principios organizacionales, las líneas de actuación como el accionar institucional de tal forma que regule y oriente a la entidad en el cumplimiento de sus objetivos, a partir del análisis de la situación actual de la entidad o el diagnóstico situacional y con la participación de la alta dirección o los responsables designados.</w:t>
      </w:r>
    </w:p>
    <w:p w14:paraId="77DE7FE1" w14:textId="2DDCD21A" w:rsidR="00112179" w:rsidRPr="00112179" w:rsidRDefault="00112179" w:rsidP="003D449D">
      <w:pPr>
        <w:jc w:val="both"/>
        <w:rPr>
          <w:rFonts w:ascii="Arial" w:hAnsi="Arial" w:cs="Arial"/>
          <w:lang w:val="es-MX"/>
        </w:rPr>
      </w:pPr>
    </w:p>
    <w:p w14:paraId="3657ABB4" w14:textId="06A8AAFF" w:rsidR="00112179" w:rsidRPr="00112179" w:rsidRDefault="00112179" w:rsidP="00112179">
      <w:pPr>
        <w:rPr>
          <w:rFonts w:ascii="Arial" w:hAnsi="Arial" w:cs="Arial"/>
          <w:b/>
          <w:bCs/>
        </w:rPr>
      </w:pPr>
      <w:r>
        <w:rPr>
          <w:rFonts w:ascii="Arial" w:hAnsi="Arial" w:cs="Arial"/>
          <w:b/>
          <w:bCs/>
        </w:rPr>
        <w:t xml:space="preserve">Serie: </w:t>
      </w:r>
      <w:r w:rsidRPr="00112179">
        <w:rPr>
          <w:rFonts w:ascii="Arial" w:hAnsi="Arial" w:cs="Arial"/>
          <w:b/>
          <w:bCs/>
        </w:rPr>
        <w:t>Indicadores</w:t>
      </w:r>
    </w:p>
    <w:p w14:paraId="58AFF092" w14:textId="40F7193A" w:rsidR="00112179" w:rsidRPr="00112179" w:rsidRDefault="00112179" w:rsidP="00112179">
      <w:pPr>
        <w:rPr>
          <w:rFonts w:ascii="Arial" w:hAnsi="Arial" w:cs="Arial"/>
        </w:rPr>
      </w:pPr>
      <w:r w:rsidRPr="00112179">
        <w:rPr>
          <w:rFonts w:ascii="Arial" w:hAnsi="Arial" w:cs="Arial"/>
        </w:rPr>
        <w:t xml:space="preserve">la serie indicadores está conformada por los documentos que registran las medidas cuantitativas y la observación cualitativa que permite identificar cambios en el tiempo en el desarrollo de un proceso o proyecto. </w:t>
      </w:r>
    </w:p>
    <w:p w14:paraId="41FD51F1" w14:textId="170F4C84" w:rsidR="00112179" w:rsidRPr="00112179" w:rsidRDefault="00112179" w:rsidP="00112179">
      <w:pPr>
        <w:jc w:val="both"/>
        <w:rPr>
          <w:rFonts w:ascii="Arial" w:hAnsi="Arial" w:cs="Arial"/>
          <w:b/>
          <w:bCs/>
          <w:lang w:val="es-MX"/>
        </w:rPr>
      </w:pPr>
      <w:r w:rsidRPr="00112179">
        <w:rPr>
          <w:rFonts w:ascii="Arial" w:hAnsi="Arial" w:cs="Arial"/>
          <w:b/>
          <w:bCs/>
          <w:lang w:val="es-MX"/>
        </w:rPr>
        <w:t>Subserie: Indicadores de Gestión</w:t>
      </w:r>
    </w:p>
    <w:p w14:paraId="2E3D6271" w14:textId="284FE25C" w:rsidR="00112179" w:rsidRPr="00112179" w:rsidRDefault="00112179" w:rsidP="00112179">
      <w:pPr>
        <w:jc w:val="both"/>
        <w:rPr>
          <w:rFonts w:ascii="Arial" w:hAnsi="Arial" w:cs="Arial"/>
          <w:lang w:val="es-MX"/>
        </w:rPr>
      </w:pPr>
      <w:r w:rsidRPr="00112179">
        <w:rPr>
          <w:rFonts w:ascii="Arial" w:hAnsi="Arial" w:cs="Arial"/>
          <w:lang w:val="es-MX"/>
        </w:rPr>
        <w:t xml:space="preserve">La subserie indicadores de gestión, de la serie indicadores, son los documentos que registran los elementos de control conformados por el conjunto de mecanismos necesarios para la evaluación de la gestión de toda Entidad Pública.  Se presentan como un conjunto de variables cuantitativas o cualitativas sujetas a medición que permiten observar la situación y las tendencias de cambio generadas en la Entidad.  Los elementos más usuales sobre los que se construyen indicadores de gestión son: eficiencia, eficacia y efectividad. </w:t>
      </w:r>
    </w:p>
    <w:p w14:paraId="193127C1" w14:textId="77777777" w:rsidR="00E9285E" w:rsidRDefault="00112179" w:rsidP="00112179">
      <w:pPr>
        <w:jc w:val="both"/>
        <w:rPr>
          <w:rFonts w:ascii="Arial" w:hAnsi="Arial" w:cs="Arial"/>
          <w:b/>
          <w:bCs/>
        </w:rPr>
      </w:pPr>
      <w:bookmarkStart w:id="0" w:name="_Toc284236760"/>
      <w:r w:rsidRPr="00112179">
        <w:rPr>
          <w:rFonts w:ascii="Arial" w:hAnsi="Arial" w:cs="Arial"/>
          <w:b/>
          <w:bCs/>
        </w:rPr>
        <w:t xml:space="preserve">Disposición </w:t>
      </w:r>
      <w:bookmarkEnd w:id="0"/>
      <w:r w:rsidRPr="00112179">
        <w:rPr>
          <w:rFonts w:ascii="Arial" w:hAnsi="Arial" w:cs="Arial"/>
          <w:b/>
          <w:bCs/>
        </w:rPr>
        <w:t>final:</w:t>
      </w:r>
      <w:r>
        <w:rPr>
          <w:rFonts w:ascii="Arial" w:hAnsi="Arial" w:cs="Arial"/>
          <w:b/>
          <w:bCs/>
        </w:rPr>
        <w:t xml:space="preserve"> </w:t>
      </w:r>
      <w:r w:rsidRPr="00112179">
        <w:rPr>
          <w:rFonts w:ascii="Arial" w:hAnsi="Arial" w:cs="Arial"/>
        </w:rPr>
        <w:t>Selección. Dentro de las posibilidades investigativas que ofrecen los indicadores de gestión, se encuentra la realización de estudios de tipo estadístico, sobre los alcances y logros alcanzados ya sea por una entidad o por la administración general de la Ciudad. También son fuente para investigaciones de tipo histórico, sociológico y antropológico sobre las políticas y estrategias usadas para el desarrollo de la Ciudad. Igualmente son fuente parta estudios en el campo de la administración pública, para el análisis o mejoramiento de políticas públicas. Pueden también considerarse como elemento de comparación entre distintas administraciones e identificar sus diferencias y coberturas en diferentes sectores de necesidades básicas existentes.</w:t>
      </w:r>
    </w:p>
    <w:p w14:paraId="7317EABE" w14:textId="0DCED0E3" w:rsidR="00112179" w:rsidRPr="00E9285E" w:rsidRDefault="00112179" w:rsidP="00112179">
      <w:pPr>
        <w:jc w:val="both"/>
        <w:rPr>
          <w:rFonts w:ascii="Arial" w:hAnsi="Arial" w:cs="Arial"/>
          <w:b/>
          <w:bCs/>
        </w:rPr>
      </w:pPr>
      <w:r w:rsidRPr="00112179">
        <w:rPr>
          <w:rFonts w:ascii="Arial" w:hAnsi="Arial" w:cs="Arial"/>
        </w:rPr>
        <w:t xml:space="preserve">Por las razones expuestas anteriormente, una vez la documentación pierda todos sus valores primarios y de retención. Se le debe aplicar una selección sobre el último reporte de estos indicadores dentro de los cuales se consolide la vigencia a la que pertenecen y que representen la totalidad de los indicadores como tal. La transferencia se realizará según los protocolos establecidos por </w:t>
      </w:r>
      <w:r>
        <w:rPr>
          <w:rFonts w:ascii="Arial" w:hAnsi="Arial" w:cs="Arial"/>
        </w:rPr>
        <w:t>el Archivo General de la Nación.</w:t>
      </w:r>
    </w:p>
    <w:p w14:paraId="601F4320" w14:textId="7ECEFBF4" w:rsidR="00D42B05" w:rsidRPr="00E9285E" w:rsidRDefault="00D42B05" w:rsidP="00E9285E">
      <w:pPr>
        <w:jc w:val="both"/>
        <w:rPr>
          <w:rFonts w:ascii="Arial" w:hAnsi="Arial" w:cs="Arial"/>
          <w:b/>
          <w:bCs/>
        </w:rPr>
      </w:pPr>
      <w:r w:rsidRPr="00E9285E">
        <w:rPr>
          <w:rFonts w:ascii="Arial" w:hAnsi="Arial" w:cs="Arial"/>
          <w:b/>
          <w:bCs/>
        </w:rPr>
        <w:t>Subserie: Informes de Seguimiento a los Planes Operativos o de Gestión</w:t>
      </w:r>
    </w:p>
    <w:p w14:paraId="2A5F186A" w14:textId="4EBAD1C3" w:rsidR="00D42B05" w:rsidRPr="00E9285E" w:rsidRDefault="00D42B05" w:rsidP="00E9285E">
      <w:pPr>
        <w:jc w:val="both"/>
        <w:rPr>
          <w:rFonts w:ascii="Arial" w:hAnsi="Arial" w:cs="Arial"/>
        </w:rPr>
      </w:pPr>
      <w:r w:rsidRPr="00E9285E">
        <w:rPr>
          <w:rFonts w:ascii="Arial" w:hAnsi="Arial" w:cs="Arial"/>
        </w:rPr>
        <w:t xml:space="preserve">La subserie informe de seguimiento a los Planes Operativos o de Gestión, de la serie Informes, es el conjunto de documentos que contiene los datos de la evaluación de los </w:t>
      </w:r>
      <w:r w:rsidRPr="00E9285E">
        <w:rPr>
          <w:rFonts w:ascii="Arial" w:hAnsi="Arial" w:cs="Arial"/>
        </w:rPr>
        <w:lastRenderedPageBreak/>
        <w:t>proyectos previamente definidos en un Programa o Plan, con miras a identificar desviaciones y a aplicar los correctivos con el fin de alcanzar los resultados inicialmente establecidos. Además, deben registrar los avances reales de la gestión de la Entidad en un periodo determinado.</w:t>
      </w:r>
    </w:p>
    <w:p w14:paraId="5E7813B7" w14:textId="17AC0219" w:rsidR="00E9285E" w:rsidRPr="00E9285E" w:rsidRDefault="00E9285E" w:rsidP="00E9285E">
      <w:pPr>
        <w:jc w:val="both"/>
        <w:rPr>
          <w:rFonts w:ascii="Arial" w:hAnsi="Arial" w:cs="Arial"/>
          <w:b/>
          <w:bCs/>
        </w:rPr>
      </w:pPr>
      <w:bookmarkStart w:id="1" w:name="_Toc284236767"/>
      <w:r w:rsidRPr="00E9285E">
        <w:rPr>
          <w:rFonts w:ascii="Arial" w:hAnsi="Arial" w:cs="Arial"/>
          <w:b/>
          <w:bCs/>
        </w:rPr>
        <w:t xml:space="preserve">Disposición </w:t>
      </w:r>
      <w:bookmarkEnd w:id="1"/>
      <w:r w:rsidRPr="00E9285E">
        <w:rPr>
          <w:rFonts w:ascii="Arial" w:hAnsi="Arial" w:cs="Arial"/>
          <w:b/>
          <w:bCs/>
        </w:rPr>
        <w:t>final: Selección</w:t>
      </w:r>
      <w:r w:rsidRPr="00E9285E">
        <w:rPr>
          <w:rFonts w:ascii="Arial" w:hAnsi="Arial" w:cs="Arial"/>
        </w:rPr>
        <w:t>.</w:t>
      </w:r>
      <w:r w:rsidRPr="00E9285E">
        <w:rPr>
          <w:rStyle w:val="Textoindependienteprimerasangra2Car"/>
          <w:rFonts w:eastAsiaTheme="minorHAnsi" w:cs="Arial"/>
        </w:rPr>
        <w:t xml:space="preserve"> Dentro de las posibilidades investigativas de la serie informe de seguimiento a los planes de gestión, se encuentra la de realizar investigaciones de tipo estadístico y económico, para medir los niveles de inversión realizados en la Ciudad ya sea dentro del tiempo de una vigencia fiscal o de la duración de un Plan de Desarrollo, también permiten identificar desde un punto de vista sociológico, cuáles fueron los ejes principales atendidos dentro de una administración. Son útiles también para el desarrollo de investigaciones históricas, como fuente primaria para el análisis de un periodo determinado de la Ciudad, igualmente se pueden utilizar como herramienta para estudios sobre modelos en y para la administración pública.  </w:t>
      </w:r>
    </w:p>
    <w:p w14:paraId="4DC45AF0" w14:textId="77777777" w:rsidR="00E9285E" w:rsidRPr="00E9285E" w:rsidRDefault="00E9285E" w:rsidP="00E9285E">
      <w:pPr>
        <w:jc w:val="both"/>
        <w:rPr>
          <w:rFonts w:ascii="Arial" w:hAnsi="Arial" w:cs="Arial"/>
          <w:b/>
          <w:bCs/>
        </w:rPr>
      </w:pPr>
      <w:r w:rsidRPr="00E9285E">
        <w:rPr>
          <w:rStyle w:val="Textoennegrita"/>
          <w:rFonts w:ascii="Arial" w:hAnsi="Arial" w:cs="Arial"/>
          <w:b w:val="0"/>
        </w:rPr>
        <w:t xml:space="preserve">Por las razones anteriormente expuestas, una vez la documentación pierda todos sus valores primarios y de retención, se puede proceder a su selección que se realizará con la conservación del último informe consolidado durante la vigencia fiscal en donde se evidencia todos los datos ejecutados durante el lapso determinado. </w:t>
      </w:r>
      <w:r w:rsidRPr="00E9285E">
        <w:rPr>
          <w:rStyle w:val="Textoindependienteprimerasangra2Car"/>
          <w:rFonts w:eastAsiaTheme="minorHAnsi" w:cs="Arial"/>
        </w:rPr>
        <w:t xml:space="preserve">La transferencia de la documentación se realizará según el protocolo establecido por </w:t>
      </w:r>
      <w:r>
        <w:rPr>
          <w:rFonts w:ascii="Arial" w:hAnsi="Arial" w:cs="Arial"/>
        </w:rPr>
        <w:t>Archivo General de la Nación.</w:t>
      </w:r>
    </w:p>
    <w:p w14:paraId="778299E0" w14:textId="00E18DF8" w:rsidR="00E9285E" w:rsidRPr="00E9285E" w:rsidRDefault="00E9285E" w:rsidP="00E9285E">
      <w:pPr>
        <w:jc w:val="both"/>
        <w:rPr>
          <w:rFonts w:ascii="Arial" w:hAnsi="Arial" w:cs="Arial"/>
        </w:rPr>
      </w:pPr>
    </w:p>
    <w:p w14:paraId="1D3862AB" w14:textId="77777777" w:rsidR="00D42B05" w:rsidRPr="00D42B05" w:rsidRDefault="00D42B05" w:rsidP="00E9285E">
      <w:pPr>
        <w:jc w:val="both"/>
        <w:rPr>
          <w:rFonts w:ascii="Arial" w:hAnsi="Arial" w:cs="Arial"/>
        </w:rPr>
      </w:pPr>
    </w:p>
    <w:p w14:paraId="77956D70" w14:textId="77777777" w:rsidR="00112179" w:rsidRPr="00D42B05" w:rsidRDefault="00112179" w:rsidP="00E9285E">
      <w:pPr>
        <w:jc w:val="both"/>
        <w:rPr>
          <w:rFonts w:ascii="Arial" w:hAnsi="Arial" w:cs="Arial"/>
        </w:rPr>
      </w:pPr>
    </w:p>
    <w:p w14:paraId="0B74F090" w14:textId="77777777" w:rsidR="00112179" w:rsidRPr="00112179" w:rsidRDefault="00112179" w:rsidP="00D42B05">
      <w:pPr>
        <w:jc w:val="both"/>
        <w:rPr>
          <w:rFonts w:ascii="Arial" w:hAnsi="Arial" w:cs="Arial"/>
          <w:lang w:val="es-MX"/>
        </w:rPr>
      </w:pPr>
    </w:p>
    <w:sectPr w:rsidR="00112179" w:rsidRPr="001121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A5BB2"/>
    <w:multiLevelType w:val="multilevel"/>
    <w:tmpl w:val="0C0A0025"/>
    <w:lvl w:ilvl="0">
      <w:start w:val="1"/>
      <w:numFmt w:val="decimal"/>
      <w:pStyle w:val="Ttulo1"/>
      <w:lvlText w:val="%1"/>
      <w:lvlJc w:val="left"/>
      <w:pPr>
        <w:tabs>
          <w:tab w:val="num" w:pos="432"/>
        </w:tabs>
        <w:ind w:left="432" w:hanging="432"/>
      </w:pPr>
      <w:rPr>
        <w:rFonts w:hint="default"/>
        <w:b/>
        <w:color w:val="000000"/>
      </w:rPr>
    </w:lvl>
    <w:lvl w:ilvl="1">
      <w:start w:val="1"/>
      <w:numFmt w:val="decimal"/>
      <w:pStyle w:val="Ttulo2"/>
      <w:lvlText w:val="%1.%2"/>
      <w:lvlJc w:val="left"/>
      <w:pPr>
        <w:tabs>
          <w:tab w:val="num" w:pos="6672"/>
        </w:tabs>
        <w:ind w:left="6672" w:hanging="576"/>
      </w:pPr>
    </w:lvl>
    <w:lvl w:ilvl="2">
      <w:start w:val="1"/>
      <w:numFmt w:val="decimal"/>
      <w:pStyle w:val="Ttulo3"/>
      <w:lvlText w:val="%1.%2.%3"/>
      <w:lvlJc w:val="left"/>
      <w:pPr>
        <w:tabs>
          <w:tab w:val="num" w:pos="7524"/>
        </w:tabs>
        <w:ind w:left="7524" w:hanging="720"/>
      </w:pPr>
    </w:lvl>
    <w:lvl w:ilvl="3">
      <w:start w:val="1"/>
      <w:numFmt w:val="decimal"/>
      <w:pStyle w:val="Ttulo4"/>
      <w:lvlText w:val="%1.%2.%3.%4"/>
      <w:lvlJc w:val="left"/>
      <w:pPr>
        <w:tabs>
          <w:tab w:val="num" w:pos="3983"/>
        </w:tabs>
        <w:ind w:left="3983"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 w15:restartNumberingAfterBreak="0">
    <w:nsid w:val="69385113"/>
    <w:multiLevelType w:val="hybridMultilevel"/>
    <w:tmpl w:val="83A865F8"/>
    <w:lvl w:ilvl="0" w:tplc="E2E4F2C6">
      <w:start w:val="1"/>
      <w:numFmt w:val="bullet"/>
      <w:lvlText w:val="o"/>
      <w:lvlJc w:val="left"/>
      <w:pPr>
        <w:tabs>
          <w:tab w:val="num" w:pos="1200"/>
        </w:tabs>
        <w:ind w:left="1200" w:hanging="360"/>
      </w:pPr>
      <w:rPr>
        <w:rFonts w:ascii="Courier New" w:hAnsi="Courier New" w:cs="Courier New" w:hint="default"/>
        <w:color w:val="auto"/>
      </w:rPr>
    </w:lvl>
    <w:lvl w:ilvl="1" w:tplc="63F88892">
      <w:start w:val="7"/>
      <w:numFmt w:val="bullet"/>
      <w:lvlText w:val="-"/>
      <w:lvlJc w:val="left"/>
      <w:pPr>
        <w:tabs>
          <w:tab w:val="num" w:pos="1560"/>
        </w:tabs>
        <w:ind w:left="1560" w:hanging="360"/>
      </w:pPr>
      <w:rPr>
        <w:rFonts w:ascii="Arial" w:eastAsia="Times New Roman" w:hAnsi="Arial" w:cs="Arial" w:hint="default"/>
        <w:color w:val="auto"/>
      </w:rPr>
    </w:lvl>
    <w:lvl w:ilvl="2" w:tplc="0C0A0005" w:tentative="1">
      <w:start w:val="1"/>
      <w:numFmt w:val="bullet"/>
      <w:lvlText w:val=""/>
      <w:lvlJc w:val="left"/>
      <w:pPr>
        <w:tabs>
          <w:tab w:val="num" w:pos="2640"/>
        </w:tabs>
        <w:ind w:left="2640" w:hanging="360"/>
      </w:pPr>
      <w:rPr>
        <w:rFonts w:ascii="Wingdings" w:hAnsi="Wingdings" w:hint="default"/>
      </w:rPr>
    </w:lvl>
    <w:lvl w:ilvl="3" w:tplc="0C0A0001" w:tentative="1">
      <w:start w:val="1"/>
      <w:numFmt w:val="bullet"/>
      <w:lvlText w:val=""/>
      <w:lvlJc w:val="left"/>
      <w:pPr>
        <w:tabs>
          <w:tab w:val="num" w:pos="3360"/>
        </w:tabs>
        <w:ind w:left="3360" w:hanging="360"/>
      </w:pPr>
      <w:rPr>
        <w:rFonts w:ascii="Symbol" w:hAnsi="Symbol" w:hint="default"/>
      </w:rPr>
    </w:lvl>
    <w:lvl w:ilvl="4" w:tplc="0C0A0003" w:tentative="1">
      <w:start w:val="1"/>
      <w:numFmt w:val="bullet"/>
      <w:lvlText w:val="o"/>
      <w:lvlJc w:val="left"/>
      <w:pPr>
        <w:tabs>
          <w:tab w:val="num" w:pos="4080"/>
        </w:tabs>
        <w:ind w:left="4080" w:hanging="360"/>
      </w:pPr>
      <w:rPr>
        <w:rFonts w:ascii="Courier New" w:hAnsi="Courier New" w:cs="Courier New" w:hint="default"/>
      </w:rPr>
    </w:lvl>
    <w:lvl w:ilvl="5" w:tplc="0C0A0005" w:tentative="1">
      <w:start w:val="1"/>
      <w:numFmt w:val="bullet"/>
      <w:lvlText w:val=""/>
      <w:lvlJc w:val="left"/>
      <w:pPr>
        <w:tabs>
          <w:tab w:val="num" w:pos="4800"/>
        </w:tabs>
        <w:ind w:left="4800" w:hanging="360"/>
      </w:pPr>
      <w:rPr>
        <w:rFonts w:ascii="Wingdings" w:hAnsi="Wingdings" w:hint="default"/>
      </w:rPr>
    </w:lvl>
    <w:lvl w:ilvl="6" w:tplc="0C0A0001" w:tentative="1">
      <w:start w:val="1"/>
      <w:numFmt w:val="bullet"/>
      <w:lvlText w:val=""/>
      <w:lvlJc w:val="left"/>
      <w:pPr>
        <w:tabs>
          <w:tab w:val="num" w:pos="5520"/>
        </w:tabs>
        <w:ind w:left="5520" w:hanging="360"/>
      </w:pPr>
      <w:rPr>
        <w:rFonts w:ascii="Symbol" w:hAnsi="Symbol" w:hint="default"/>
      </w:rPr>
    </w:lvl>
    <w:lvl w:ilvl="7" w:tplc="0C0A0003" w:tentative="1">
      <w:start w:val="1"/>
      <w:numFmt w:val="bullet"/>
      <w:lvlText w:val="o"/>
      <w:lvlJc w:val="left"/>
      <w:pPr>
        <w:tabs>
          <w:tab w:val="num" w:pos="6240"/>
        </w:tabs>
        <w:ind w:left="6240" w:hanging="360"/>
      </w:pPr>
      <w:rPr>
        <w:rFonts w:ascii="Courier New" w:hAnsi="Courier New" w:cs="Courier New" w:hint="default"/>
      </w:rPr>
    </w:lvl>
    <w:lvl w:ilvl="8" w:tplc="0C0A0005" w:tentative="1">
      <w:start w:val="1"/>
      <w:numFmt w:val="bullet"/>
      <w:lvlText w:val=""/>
      <w:lvlJc w:val="left"/>
      <w:pPr>
        <w:tabs>
          <w:tab w:val="num" w:pos="6960"/>
        </w:tabs>
        <w:ind w:left="6960" w:hanging="360"/>
      </w:pPr>
      <w:rPr>
        <w:rFonts w:ascii="Wingdings" w:hAnsi="Wingdings" w:hint="default"/>
      </w:rPr>
    </w:lvl>
  </w:abstractNum>
  <w:abstractNum w:abstractNumId="2" w15:restartNumberingAfterBreak="0">
    <w:nsid w:val="69F819B6"/>
    <w:multiLevelType w:val="hybridMultilevel"/>
    <w:tmpl w:val="20501F3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FD3"/>
    <w:rsid w:val="00112179"/>
    <w:rsid w:val="003D449D"/>
    <w:rsid w:val="00443D07"/>
    <w:rsid w:val="00641E36"/>
    <w:rsid w:val="006F1DFE"/>
    <w:rsid w:val="007C0E97"/>
    <w:rsid w:val="00820B0D"/>
    <w:rsid w:val="00874C03"/>
    <w:rsid w:val="009904D9"/>
    <w:rsid w:val="00BF0831"/>
    <w:rsid w:val="00CA4BDC"/>
    <w:rsid w:val="00D42B05"/>
    <w:rsid w:val="00E36A62"/>
    <w:rsid w:val="00E9285E"/>
    <w:rsid w:val="00F64402"/>
    <w:rsid w:val="00F93663"/>
    <w:rsid w:val="00FF2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5FF13"/>
  <w15:chartTrackingRefBased/>
  <w15:docId w15:val="{21132561-9AF9-4D9D-A75C-A919AFFC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12179"/>
    <w:pPr>
      <w:keepNext/>
      <w:numPr>
        <w:numId w:val="2"/>
      </w:numPr>
      <w:spacing w:before="240" w:after="60" w:line="240" w:lineRule="auto"/>
      <w:jc w:val="both"/>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qFormat/>
    <w:rsid w:val="00112179"/>
    <w:pPr>
      <w:keepNext/>
      <w:numPr>
        <w:ilvl w:val="1"/>
        <w:numId w:val="2"/>
      </w:numPr>
      <w:spacing w:before="240" w:after="60" w:line="240" w:lineRule="auto"/>
      <w:jc w:val="both"/>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qFormat/>
    <w:rsid w:val="00112179"/>
    <w:pPr>
      <w:keepNext/>
      <w:numPr>
        <w:ilvl w:val="2"/>
        <w:numId w:val="2"/>
      </w:numPr>
      <w:tabs>
        <w:tab w:val="clear" w:pos="7524"/>
        <w:tab w:val="num" w:pos="3698"/>
      </w:tabs>
      <w:spacing w:before="240" w:after="60" w:line="240" w:lineRule="auto"/>
      <w:ind w:left="3698"/>
      <w:jc w:val="both"/>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qFormat/>
    <w:rsid w:val="00112179"/>
    <w:pPr>
      <w:keepNext/>
      <w:numPr>
        <w:ilvl w:val="3"/>
        <w:numId w:val="2"/>
      </w:numPr>
      <w:tabs>
        <w:tab w:val="clear" w:pos="3983"/>
        <w:tab w:val="num" w:pos="864"/>
      </w:tabs>
      <w:spacing w:before="240" w:after="60" w:line="240" w:lineRule="auto"/>
      <w:ind w:left="864"/>
      <w:jc w:val="both"/>
      <w:outlineLvl w:val="3"/>
    </w:pPr>
    <w:rPr>
      <w:rFonts w:ascii="Arial" w:eastAsia="Times New Roman" w:hAnsi="Arial" w:cs="Times New Roman"/>
      <w:b/>
      <w:bCs/>
      <w:szCs w:val="28"/>
      <w:lang w:val="es-ES" w:eastAsia="es-ES"/>
    </w:rPr>
  </w:style>
  <w:style w:type="paragraph" w:styleId="Ttulo5">
    <w:name w:val="heading 5"/>
    <w:basedOn w:val="Normal"/>
    <w:next w:val="Normal"/>
    <w:link w:val="Ttulo5Car"/>
    <w:qFormat/>
    <w:rsid w:val="00112179"/>
    <w:pPr>
      <w:numPr>
        <w:ilvl w:val="4"/>
        <w:numId w:val="2"/>
      </w:numPr>
      <w:spacing w:before="240" w:after="60" w:line="240" w:lineRule="auto"/>
      <w:jc w:val="both"/>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ar"/>
    <w:qFormat/>
    <w:rsid w:val="00112179"/>
    <w:pPr>
      <w:numPr>
        <w:ilvl w:val="5"/>
        <w:numId w:val="2"/>
      </w:numPr>
      <w:spacing w:before="240" w:after="60" w:line="240" w:lineRule="auto"/>
      <w:jc w:val="both"/>
      <w:outlineLvl w:val="5"/>
    </w:pPr>
    <w:rPr>
      <w:rFonts w:ascii="Arial" w:eastAsia="Times New Roman" w:hAnsi="Arial" w:cs="Times New Roman"/>
      <w:b/>
      <w:bCs/>
      <w:lang w:val="es-ES" w:eastAsia="es-ES"/>
    </w:rPr>
  </w:style>
  <w:style w:type="paragraph" w:styleId="Ttulo7">
    <w:name w:val="heading 7"/>
    <w:basedOn w:val="Normal"/>
    <w:next w:val="Normal"/>
    <w:link w:val="Ttulo7Car"/>
    <w:qFormat/>
    <w:rsid w:val="00112179"/>
    <w:pPr>
      <w:numPr>
        <w:ilvl w:val="6"/>
        <w:numId w:val="2"/>
      </w:numPr>
      <w:spacing w:before="240" w:after="60" w:line="240" w:lineRule="auto"/>
      <w:jc w:val="both"/>
      <w:outlineLvl w:val="6"/>
    </w:pPr>
    <w:rPr>
      <w:rFonts w:ascii="Arial" w:eastAsia="Times New Roman" w:hAnsi="Arial" w:cs="Times New Roman"/>
      <w:szCs w:val="24"/>
      <w:lang w:val="es-ES" w:eastAsia="es-ES"/>
    </w:rPr>
  </w:style>
  <w:style w:type="paragraph" w:styleId="Ttulo8">
    <w:name w:val="heading 8"/>
    <w:basedOn w:val="Normal"/>
    <w:next w:val="Normal"/>
    <w:link w:val="Ttulo8Car"/>
    <w:qFormat/>
    <w:rsid w:val="00112179"/>
    <w:pPr>
      <w:numPr>
        <w:ilvl w:val="7"/>
        <w:numId w:val="2"/>
      </w:numPr>
      <w:spacing w:before="240" w:after="60" w:line="240" w:lineRule="auto"/>
      <w:jc w:val="both"/>
      <w:outlineLvl w:val="7"/>
    </w:pPr>
    <w:rPr>
      <w:rFonts w:ascii="Arial" w:eastAsia="Times New Roman" w:hAnsi="Arial" w:cs="Times New Roman"/>
      <w:i/>
      <w:iCs/>
      <w:szCs w:val="24"/>
      <w:lang w:val="es-ES" w:eastAsia="es-ES"/>
    </w:rPr>
  </w:style>
  <w:style w:type="paragraph" w:styleId="Ttulo9">
    <w:name w:val="heading 9"/>
    <w:basedOn w:val="Normal"/>
    <w:next w:val="Normal"/>
    <w:link w:val="Ttulo9Car"/>
    <w:qFormat/>
    <w:rsid w:val="00112179"/>
    <w:pPr>
      <w:numPr>
        <w:ilvl w:val="8"/>
        <w:numId w:val="2"/>
      </w:numPr>
      <w:spacing w:before="240" w:after="60" w:line="240" w:lineRule="auto"/>
      <w:jc w:val="both"/>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F2FD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rsid w:val="00112179"/>
    <w:rPr>
      <w:rFonts w:ascii="Arial" w:eastAsia="Times New Roman" w:hAnsi="Arial" w:cs="Times New Roman"/>
      <w:b/>
      <w:bCs/>
      <w:kern w:val="32"/>
      <w:sz w:val="32"/>
      <w:szCs w:val="32"/>
      <w:lang w:val="es-ES" w:eastAsia="es-ES"/>
    </w:rPr>
  </w:style>
  <w:style w:type="character" w:customStyle="1" w:styleId="Ttulo2Car">
    <w:name w:val="Título 2 Car"/>
    <w:basedOn w:val="Fuentedeprrafopredeter"/>
    <w:link w:val="Ttulo2"/>
    <w:rsid w:val="00112179"/>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112179"/>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112179"/>
    <w:rPr>
      <w:rFonts w:ascii="Arial" w:eastAsia="Times New Roman" w:hAnsi="Arial" w:cs="Times New Roman"/>
      <w:b/>
      <w:bCs/>
      <w:szCs w:val="28"/>
      <w:lang w:val="es-ES" w:eastAsia="es-ES"/>
    </w:rPr>
  </w:style>
  <w:style w:type="character" w:customStyle="1" w:styleId="Ttulo5Car">
    <w:name w:val="Título 5 Car"/>
    <w:basedOn w:val="Fuentedeprrafopredeter"/>
    <w:link w:val="Ttulo5"/>
    <w:rsid w:val="00112179"/>
    <w:rPr>
      <w:rFonts w:ascii="Arial" w:eastAsia="Times New Roman" w:hAnsi="Arial" w:cs="Times New Roman"/>
      <w:b/>
      <w:bCs/>
      <w:i/>
      <w:iCs/>
      <w:sz w:val="26"/>
      <w:szCs w:val="26"/>
      <w:lang w:val="x-none" w:eastAsia="x-none"/>
    </w:rPr>
  </w:style>
  <w:style w:type="character" w:customStyle="1" w:styleId="Ttulo6Car">
    <w:name w:val="Título 6 Car"/>
    <w:basedOn w:val="Fuentedeprrafopredeter"/>
    <w:link w:val="Ttulo6"/>
    <w:rsid w:val="00112179"/>
    <w:rPr>
      <w:rFonts w:ascii="Arial" w:eastAsia="Times New Roman" w:hAnsi="Arial" w:cs="Times New Roman"/>
      <w:b/>
      <w:bCs/>
      <w:lang w:val="es-ES" w:eastAsia="es-ES"/>
    </w:rPr>
  </w:style>
  <w:style w:type="character" w:customStyle="1" w:styleId="Ttulo7Car">
    <w:name w:val="Título 7 Car"/>
    <w:basedOn w:val="Fuentedeprrafopredeter"/>
    <w:link w:val="Ttulo7"/>
    <w:rsid w:val="00112179"/>
    <w:rPr>
      <w:rFonts w:ascii="Arial" w:eastAsia="Times New Roman" w:hAnsi="Arial" w:cs="Times New Roman"/>
      <w:szCs w:val="24"/>
      <w:lang w:val="es-ES" w:eastAsia="es-ES"/>
    </w:rPr>
  </w:style>
  <w:style w:type="character" w:customStyle="1" w:styleId="Ttulo8Car">
    <w:name w:val="Título 8 Car"/>
    <w:basedOn w:val="Fuentedeprrafopredeter"/>
    <w:link w:val="Ttulo8"/>
    <w:rsid w:val="00112179"/>
    <w:rPr>
      <w:rFonts w:ascii="Arial" w:eastAsia="Times New Roman" w:hAnsi="Arial" w:cs="Times New Roman"/>
      <w:i/>
      <w:iCs/>
      <w:szCs w:val="24"/>
      <w:lang w:val="es-ES" w:eastAsia="es-ES"/>
    </w:rPr>
  </w:style>
  <w:style w:type="character" w:customStyle="1" w:styleId="Ttulo9Car">
    <w:name w:val="Título 9 Car"/>
    <w:basedOn w:val="Fuentedeprrafopredeter"/>
    <w:link w:val="Ttulo9"/>
    <w:rsid w:val="00112179"/>
    <w:rPr>
      <w:rFonts w:ascii="Arial" w:eastAsia="Times New Roman" w:hAnsi="Arial" w:cs="Arial"/>
      <w:lang w:val="es-ES" w:eastAsia="es-ES"/>
    </w:rPr>
  </w:style>
  <w:style w:type="character" w:styleId="Textoennegrita">
    <w:name w:val="Strong"/>
    <w:uiPriority w:val="22"/>
    <w:qFormat/>
    <w:rsid w:val="00E9285E"/>
    <w:rPr>
      <w:b/>
      <w:bCs/>
    </w:rPr>
  </w:style>
  <w:style w:type="paragraph" w:styleId="Sangradetextonormal">
    <w:name w:val="Body Text Indent"/>
    <w:basedOn w:val="Normal"/>
    <w:link w:val="SangradetextonormalCar"/>
    <w:uiPriority w:val="99"/>
    <w:semiHidden/>
    <w:unhideWhenUsed/>
    <w:rsid w:val="00E9285E"/>
    <w:pPr>
      <w:spacing w:after="120"/>
      <w:ind w:left="283"/>
    </w:pPr>
  </w:style>
  <w:style w:type="character" w:customStyle="1" w:styleId="SangradetextonormalCar">
    <w:name w:val="Sangría de texto normal Car"/>
    <w:basedOn w:val="Fuentedeprrafopredeter"/>
    <w:link w:val="Sangradetextonormal"/>
    <w:uiPriority w:val="99"/>
    <w:semiHidden/>
    <w:rsid w:val="00E9285E"/>
  </w:style>
  <w:style w:type="paragraph" w:styleId="Textoindependienteprimerasangra2">
    <w:name w:val="Body Text First Indent 2"/>
    <w:basedOn w:val="Sangradetextonormal"/>
    <w:link w:val="Textoindependienteprimerasangra2Car"/>
    <w:rsid w:val="00E9285E"/>
    <w:pPr>
      <w:spacing w:line="240" w:lineRule="auto"/>
      <w:ind w:firstLine="210"/>
      <w:jc w:val="both"/>
    </w:pPr>
    <w:rPr>
      <w:rFonts w:ascii="Arial" w:eastAsia="Times New Roman" w:hAnsi="Arial" w:cs="Times New Roman"/>
      <w:szCs w:val="24"/>
      <w:lang w:val="es-ES" w:eastAsia="es-ES"/>
    </w:rPr>
  </w:style>
  <w:style w:type="character" w:customStyle="1" w:styleId="Textoindependienteprimerasangra2Car">
    <w:name w:val="Texto independiente primera sangría 2 Car"/>
    <w:basedOn w:val="SangradetextonormalCar"/>
    <w:link w:val="Textoindependienteprimerasangra2"/>
    <w:rsid w:val="00E9285E"/>
    <w:rPr>
      <w:rFonts w:ascii="Arial" w:eastAsia="Times New Roman" w:hAnsi="Arial"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DBBBDC5C9D9064D8EB93A4ED725B3ED" ma:contentTypeVersion="11" ma:contentTypeDescription="Crear nuevo documento." ma:contentTypeScope="" ma:versionID="5c7fc818b3ca07d61650c8e57f18ac71">
  <xsd:schema xmlns:xsd="http://www.w3.org/2001/XMLSchema" xmlns:xs="http://www.w3.org/2001/XMLSchema" xmlns:p="http://schemas.microsoft.com/office/2006/metadata/properties" xmlns:ns3="0a480b34-7708-459a-9168-89864b59bada" xmlns:ns4="7e5bf6c3-7eaa-4075-a4ba-f3ab2457cf26" targetNamespace="http://schemas.microsoft.com/office/2006/metadata/properties" ma:root="true" ma:fieldsID="16bc63774fa061903aef65ec204b0b8e" ns3:_="" ns4:_="">
    <xsd:import namespace="0a480b34-7708-459a-9168-89864b59bada"/>
    <xsd:import namespace="7e5bf6c3-7eaa-4075-a4ba-f3ab2457cf2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480b34-7708-459a-9168-89864b59bad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bf6c3-7eaa-4075-a4ba-f3ab2457cf2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01173E-2D93-49FB-90F5-9A818BE09F39}">
  <ds:schemaRefs>
    <ds:schemaRef ds:uri="7e5bf6c3-7eaa-4075-a4ba-f3ab2457cf26"/>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a480b34-7708-459a-9168-89864b59bada"/>
    <ds:schemaRef ds:uri="http://purl.org/dc/terms/"/>
  </ds:schemaRefs>
</ds:datastoreItem>
</file>

<file path=customXml/itemProps2.xml><?xml version="1.0" encoding="utf-8"?>
<ds:datastoreItem xmlns:ds="http://schemas.openxmlformats.org/officeDocument/2006/customXml" ds:itemID="{D96F392D-858F-4E88-B5DF-3C1150347800}">
  <ds:schemaRefs>
    <ds:schemaRef ds:uri="http://schemas.microsoft.com/sharepoint/v3/contenttype/forms"/>
  </ds:schemaRefs>
</ds:datastoreItem>
</file>

<file path=customXml/itemProps3.xml><?xml version="1.0" encoding="utf-8"?>
<ds:datastoreItem xmlns:ds="http://schemas.openxmlformats.org/officeDocument/2006/customXml" ds:itemID="{891A6748-088C-4DA0-8597-F0A47FC51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480b34-7708-459a-9168-89864b59bada"/>
    <ds:schemaRef ds:uri="7e5bf6c3-7eaa-4075-a4ba-f3ab2457c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1750</Words>
  <Characters>9629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Liliana Cartagena Martinez</dc:creator>
  <cp:keywords/>
  <dc:description/>
  <cp:lastModifiedBy>Luisa Liliana Cartagena Martinez</cp:lastModifiedBy>
  <cp:revision>12</cp:revision>
  <dcterms:created xsi:type="dcterms:W3CDTF">2021-11-16T15:09:00Z</dcterms:created>
  <dcterms:modified xsi:type="dcterms:W3CDTF">2021-12-13T20:50:00Z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0x010100ADBBBDC5C9D9064D8EB93A4ED725B3ED</vt:lpwstr>
  </property>
</Properties>
</file>